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2721"/>
        <w:rPr>
          <w:rFonts w:ascii="MS Gothic" w:cs="MS Gothic" w:eastAsia="MS Gothic" w:hAnsi="MS Gothic"/>
        </w:rPr>
      </w:pPr>
      <w:r w:rsidDel="00000000" w:rsidR="00000000" w:rsidRPr="00000000">
        <w:rPr>
          <w:rFonts w:ascii="MS Gothic" w:cs="MS Gothic" w:eastAsia="MS Gothic" w:hAnsi="MS Gothic"/>
          <w:rtl w:val="0"/>
        </w:rPr>
        <w:t xml:space="preserve">ハラスメント防止のための指針</w:t>
      </w:r>
    </w:p>
    <w:p w:rsidR="00000000" w:rsidDel="00000000" w:rsidP="00000000" w:rsidRDefault="00000000" w:rsidRPr="00000000" w14:paraId="00000002">
      <w:pPr>
        <w:ind w:firstLine="2721"/>
        <w:rPr>
          <w:rFonts w:ascii="MS Gothic" w:cs="MS Gothic" w:eastAsia="MS Gothic" w:hAnsi="MS Gothic"/>
        </w:rPr>
      </w:pPr>
      <w:r w:rsidDel="00000000" w:rsidR="00000000" w:rsidRPr="00000000">
        <w:rPr>
          <w:rtl w:val="0"/>
        </w:rPr>
      </w:r>
    </w:p>
    <w:p w:rsidR="00000000" w:rsidDel="00000000" w:rsidP="00000000" w:rsidRDefault="00000000" w:rsidRPr="00000000" w14:paraId="00000003">
      <w:pPr>
        <w:ind w:firstLine="5895"/>
        <w:rPr/>
      </w:pPr>
      <w:r w:rsidDel="00000000" w:rsidR="00000000" w:rsidRPr="00000000">
        <w:rPr>
          <w:rtl w:val="0"/>
        </w:rPr>
        <w:t xml:space="preserve">株式会社　Lien</w:t>
      </w:r>
    </w:p>
    <w:p w:rsidR="00000000" w:rsidDel="00000000" w:rsidP="00000000" w:rsidRDefault="00000000" w:rsidRPr="00000000" w14:paraId="00000004">
      <w:pPr>
        <w:ind w:firstLine="5895"/>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当事業所は、利用者に対して安定した放課後等デイサービスを提供するため、職場及び利用者におけるハラスメント防止のための本指針を定める。</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MS Gothic" w:cs="MS Gothic" w:eastAsia="MS Gothic" w:hAnsi="MS Gothic"/>
        </w:rPr>
      </w:pPr>
      <w:r w:rsidDel="00000000" w:rsidR="00000000" w:rsidRPr="00000000">
        <w:rPr>
          <w:rFonts w:ascii="MS Gothic" w:cs="MS Gothic" w:eastAsia="MS Gothic" w:hAnsi="MS Gothic"/>
          <w:rtl w:val="0"/>
        </w:rPr>
        <w:t xml:space="preserve">１　ハラスメント防止に関する基本的考え方</w:t>
      </w:r>
    </w:p>
    <w:p w:rsidR="00000000" w:rsidDel="00000000" w:rsidP="00000000" w:rsidRDefault="00000000" w:rsidRPr="00000000" w14:paraId="00000008">
      <w:pPr>
        <w:ind w:firstLine="227"/>
        <w:rPr/>
      </w:pPr>
      <w:r w:rsidDel="00000000" w:rsidR="00000000" w:rsidRPr="00000000">
        <w:rPr>
          <w:rtl w:val="0"/>
        </w:rPr>
        <w:t xml:space="preserve">本指針におけるハラスメントとは、下記を言う。</w:t>
      </w:r>
    </w:p>
    <w:p w:rsidR="00000000" w:rsidDel="00000000" w:rsidP="00000000" w:rsidRDefault="00000000" w:rsidRPr="00000000" w14:paraId="00000009">
      <w:pPr>
        <w:rPr/>
      </w:pPr>
      <w:r w:rsidDel="00000000" w:rsidR="00000000" w:rsidRPr="00000000">
        <w:rPr>
          <w:rtl w:val="0"/>
        </w:rPr>
        <w:t xml:space="preserve">（１）職場におけるハラスメント</w:t>
      </w:r>
    </w:p>
    <w:p w:rsidR="00000000" w:rsidDel="00000000" w:rsidP="00000000" w:rsidRDefault="00000000" w:rsidRPr="00000000" w14:paraId="0000000A">
      <w:pPr>
        <w:ind w:firstLine="227"/>
        <w:rPr/>
      </w:pPr>
      <w:r w:rsidDel="00000000" w:rsidR="00000000" w:rsidRPr="00000000">
        <w:rPr>
          <w:rtl w:val="0"/>
        </w:rPr>
        <w:t xml:space="preserve">ア　パワーハラスメント</w:t>
      </w:r>
    </w:p>
    <w:p w:rsidR="00000000" w:rsidDel="00000000" w:rsidP="00000000" w:rsidRDefault="00000000" w:rsidRPr="00000000" w14:paraId="0000000B">
      <w:pPr>
        <w:ind w:left="453" w:hanging="453"/>
        <w:rPr/>
      </w:pPr>
      <w:r w:rsidDel="00000000" w:rsidR="00000000" w:rsidRPr="00000000">
        <w:rPr>
          <w:rtl w:val="0"/>
        </w:rPr>
        <w:t xml:space="preserve">　　　3つの要素すべて満たした場合、職場におけるパワハラに該当するものとする。</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88" w:right="0" w:hanging="360"/>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優越的な関係を背景とした言動</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88" w:right="0" w:hanging="360"/>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業務上必要かつ相当な範囲を超えたもの</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88" w:right="0" w:hanging="360"/>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労働者の就業環境が害されるもの</w:t>
      </w:r>
    </w:p>
    <w:p w:rsidR="00000000" w:rsidDel="00000000" w:rsidP="00000000" w:rsidRDefault="00000000" w:rsidRPr="00000000" w14:paraId="0000000F">
      <w:pPr>
        <w:ind w:firstLine="227"/>
        <w:rPr/>
      </w:pPr>
      <w:r w:rsidDel="00000000" w:rsidR="00000000" w:rsidRPr="00000000">
        <w:rPr>
          <w:rtl w:val="0"/>
        </w:rPr>
        <w:t xml:space="preserve">＜具体的な例＞</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87" w:right="0" w:hanging="360"/>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身体的な攻撃（暴行・傷害）</w:t>
      </w:r>
    </w:p>
    <w:p w:rsidR="00000000" w:rsidDel="00000000" w:rsidP="00000000" w:rsidRDefault="00000000" w:rsidRPr="00000000" w14:paraId="00000011">
      <w:pPr>
        <w:ind w:left="587" w:firstLine="0"/>
        <w:rPr/>
      </w:pPr>
      <w:r w:rsidDel="00000000" w:rsidR="00000000" w:rsidRPr="00000000">
        <w:rPr>
          <w:rtl w:val="0"/>
        </w:rPr>
        <w:t xml:space="preserve">・殴打、足蹴りを行うこと</w:t>
      </w:r>
    </w:p>
    <w:p w:rsidR="00000000" w:rsidDel="00000000" w:rsidP="00000000" w:rsidRDefault="00000000" w:rsidRPr="00000000" w14:paraId="00000012">
      <w:pPr>
        <w:ind w:left="587" w:firstLine="0"/>
        <w:rPr/>
      </w:pPr>
      <w:r w:rsidDel="00000000" w:rsidR="00000000" w:rsidRPr="00000000">
        <w:rPr>
          <w:rtl w:val="0"/>
        </w:rPr>
        <w:t xml:space="preserve">・相手に物を投げつけること</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87" w:right="0" w:hanging="360"/>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精神的な攻撃（脅迫・名誉毀損・侮辱・ひどい暴言）</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 w:right="0" w:firstLine="227"/>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・人格を否定するような言動を行うこと。相手の性的指向・性自認に関する侮辱的な</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 w:right="0" w:firstLine="453"/>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言動を行うことを含む</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 w:right="0" w:firstLine="453"/>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・業務の遂行に関する必要以上に長時間にわたる厳しい叱責を繰り返し行うこと</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 w:right="0" w:firstLine="453"/>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・他の労働者の面前における大声での威圧的な叱責を繰り返し行うこと</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 w:right="0" w:firstLine="453"/>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・相手の能力を否定し、罵倒するような内容の電子メール等を当該相手を含む複数</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 w:right="0" w:firstLine="68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の労働者宛てに送信すること</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87" w:right="0" w:hanging="360"/>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個の侵害（私的なことに過度に立ち入ること）</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7"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・労働者を職場外でも継続的に監視したり、私物の写真撮影をしたりすること</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7"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・労働者の性的指向・性自認や病歴、不妊治療等の機微な個人情報について、当該労働者の了解を得ずに他の労働者に暴露すること</w:t>
      </w:r>
    </w:p>
    <w:p w:rsidR="00000000" w:rsidDel="00000000" w:rsidP="00000000" w:rsidRDefault="00000000" w:rsidRPr="00000000" w14:paraId="0000001D">
      <w:pPr>
        <w:ind w:firstLine="227"/>
        <w:rPr/>
      </w:pPr>
      <w:r w:rsidDel="00000000" w:rsidR="00000000" w:rsidRPr="00000000">
        <w:rPr>
          <w:rtl w:val="0"/>
        </w:rPr>
      </w:r>
    </w:p>
    <w:p w:rsidR="00000000" w:rsidDel="00000000" w:rsidP="00000000" w:rsidRDefault="00000000" w:rsidRPr="00000000" w14:paraId="0000001E">
      <w:pPr>
        <w:ind w:firstLine="227"/>
        <w:rPr/>
      </w:pPr>
      <w:r w:rsidDel="00000000" w:rsidR="00000000" w:rsidRPr="00000000">
        <w:rPr>
          <w:rtl w:val="0"/>
        </w:rPr>
        <w:t xml:space="preserve">イ　セクシュアルハラスメント</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588" w:right="0" w:hanging="360"/>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対価型セクシュアルハラスメント</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8"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セクハラ行為を受けた労働者が、その言動に対して拒否、抗議などの対応をしたことで、事業主等から解雇、降格、減給等の不利益を受けること</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588" w:right="0" w:hanging="360"/>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環境型セクシュアルハラスメント</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8"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職場で行わるセクハラ行為によって仕事の環境が損なわれ、仕事をする上で見過ごせないほど重大な支障が生じること</w:t>
      </w:r>
    </w:p>
    <w:p w:rsidR="00000000" w:rsidDel="00000000" w:rsidP="00000000" w:rsidRDefault="00000000" w:rsidRPr="00000000" w14:paraId="00000023">
      <w:pPr>
        <w:rPr/>
      </w:pPr>
      <w:r w:rsidDel="00000000" w:rsidR="00000000" w:rsidRPr="00000000">
        <w:rPr>
          <w:rtl w:val="0"/>
        </w:rPr>
        <w:t xml:space="preserve">　➂ 同性に対するものも含まれる</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8"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同性から同性に対するもの、女性から男性に対するものもセクハラに該当する</w:t>
      </w:r>
    </w:p>
    <w:p w:rsidR="00000000" w:rsidDel="00000000" w:rsidP="00000000" w:rsidRDefault="00000000" w:rsidRPr="00000000" w14:paraId="00000025">
      <w:pPr>
        <w:ind w:left="453" w:hanging="453"/>
        <w:rPr/>
      </w:pPr>
      <w:r w:rsidDel="00000000" w:rsidR="00000000" w:rsidRPr="00000000">
        <w:rPr>
          <w:rtl w:val="0"/>
        </w:rPr>
        <w:t xml:space="preserve">　＜具体的な例＞</w:t>
      </w:r>
    </w:p>
    <w:p w:rsidR="00000000" w:rsidDel="00000000" w:rsidP="00000000" w:rsidRDefault="00000000" w:rsidRPr="00000000" w14:paraId="0000002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588" w:right="0" w:hanging="360"/>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性的及び身体上の事柄に関する不必要な質問・発言</w:t>
      </w:r>
    </w:p>
    <w:p w:rsidR="00000000" w:rsidDel="00000000" w:rsidP="00000000" w:rsidRDefault="00000000" w:rsidRPr="00000000" w14:paraId="0000002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588" w:right="0" w:hanging="360"/>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わいせつ図画の閲覧、配布、掲示</w:t>
      </w:r>
    </w:p>
    <w:p w:rsidR="00000000" w:rsidDel="00000000" w:rsidP="00000000" w:rsidRDefault="00000000" w:rsidRPr="00000000" w14:paraId="0000002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588" w:right="0" w:hanging="360"/>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うわさの流布</w:t>
      </w:r>
    </w:p>
    <w:p w:rsidR="00000000" w:rsidDel="00000000" w:rsidP="00000000" w:rsidRDefault="00000000" w:rsidRPr="00000000" w14:paraId="0000002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588" w:right="0" w:hanging="360"/>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不必要な身体への接触</w:t>
      </w:r>
    </w:p>
    <w:p w:rsidR="00000000" w:rsidDel="00000000" w:rsidP="00000000" w:rsidRDefault="00000000" w:rsidRPr="00000000" w14:paraId="0000002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588" w:right="0" w:hanging="360"/>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性的な言動により、他の従業員の就業意欲を低下せしめ、能力の発揮を阻害する行為</w:t>
      </w:r>
    </w:p>
    <w:p w:rsidR="00000000" w:rsidDel="00000000" w:rsidP="00000000" w:rsidRDefault="00000000" w:rsidRPr="00000000" w14:paraId="000000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588" w:right="0" w:hanging="360"/>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交際・性的関係の強要</w:t>
      </w:r>
    </w:p>
    <w:p w:rsidR="00000000" w:rsidDel="00000000" w:rsidP="00000000" w:rsidRDefault="00000000" w:rsidRPr="00000000" w14:paraId="000000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588" w:right="0" w:hanging="360"/>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性的な言動への抗議又は拒否等を行った従業員に対して、解雇、不当な人事考課、配置転換等の不利益を与える行為</w:t>
      </w:r>
    </w:p>
    <w:p w:rsidR="00000000" w:rsidDel="00000000" w:rsidP="00000000" w:rsidRDefault="00000000" w:rsidRPr="00000000" w14:paraId="000000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588" w:right="0" w:hanging="360"/>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その他、相手方及び他の従業員に不快感を与える性的な言動</w:t>
      </w:r>
    </w:p>
    <w:p w:rsidR="00000000" w:rsidDel="00000000" w:rsidP="00000000" w:rsidRDefault="00000000" w:rsidRPr="00000000" w14:paraId="0000002E">
      <w:pPr>
        <w:ind w:left="453" w:hanging="453"/>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rFonts w:ascii="MS Gothic" w:cs="MS Gothic" w:eastAsia="MS Gothic" w:hAnsi="MS Gothic"/>
        </w:rPr>
      </w:pPr>
      <w:r w:rsidDel="00000000" w:rsidR="00000000" w:rsidRPr="00000000">
        <w:rPr>
          <w:rFonts w:ascii="MS Gothic" w:cs="MS Gothic" w:eastAsia="MS Gothic" w:hAnsi="MS Gothic"/>
          <w:rtl w:val="0"/>
        </w:rPr>
        <w:t xml:space="preserve">２　ハラスメント対策</w:t>
      </w:r>
    </w:p>
    <w:p w:rsidR="00000000" w:rsidDel="00000000" w:rsidP="00000000" w:rsidRDefault="00000000" w:rsidRPr="00000000" w14:paraId="00000033">
      <w:pPr>
        <w:rPr/>
      </w:pPr>
      <w:r w:rsidDel="00000000" w:rsidR="00000000" w:rsidRPr="00000000">
        <w:rPr>
          <w:rtl w:val="0"/>
        </w:rPr>
        <w:t xml:space="preserve">（１）従業員</w:t>
      </w:r>
    </w:p>
    <w:p w:rsidR="00000000" w:rsidDel="00000000" w:rsidP="00000000" w:rsidRDefault="00000000" w:rsidRPr="00000000" w14:paraId="00000034">
      <w:pPr>
        <w:ind w:firstLine="227"/>
        <w:rPr/>
      </w:pPr>
      <w:r w:rsidDel="00000000" w:rsidR="00000000" w:rsidRPr="00000000">
        <w:rPr>
          <w:rtl w:val="0"/>
        </w:rPr>
        <w:t xml:space="preserve">本指針に基づいたハラスメント防止を徹底する定期的な研修（年1回以上）を実施する。</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rFonts w:ascii="MS Gothic" w:cs="MS Gothic" w:eastAsia="MS Gothic" w:hAnsi="MS Gothic"/>
        </w:rPr>
      </w:pPr>
      <w:r w:rsidDel="00000000" w:rsidR="00000000" w:rsidRPr="00000000">
        <w:rPr>
          <w:rFonts w:ascii="MS Gothic" w:cs="MS Gothic" w:eastAsia="MS Gothic" w:hAnsi="MS Gothic"/>
          <w:rtl w:val="0"/>
        </w:rPr>
        <w:t xml:space="preserve">３　ハラスメントに関する相談窓口と対応</w:t>
      </w:r>
    </w:p>
    <w:p w:rsidR="00000000" w:rsidDel="00000000" w:rsidP="00000000" w:rsidRDefault="00000000" w:rsidRPr="00000000" w14:paraId="0000003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648" w:right="0" w:hanging="648"/>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事業所におけるハラスメントに関する相談窓口担当者は次の者を置く。</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8" w:right="0" w:firstLine="227.00000000000003"/>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相談窓口担当：</w:t>
      </w:r>
      <w:r w:rsidDel="00000000" w:rsidR="00000000" w:rsidRPr="00000000">
        <w:rPr>
          <w:rtl w:val="0"/>
        </w:rPr>
        <w:t xml:space="preserve">　すてっぷあっぷ施設主任　渡辺</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8" w:right="0" w:firstLine="227.00000000000003"/>
        <w:jc w:val="both"/>
        <w:rPr/>
      </w:pPr>
      <w:r w:rsidDel="00000000" w:rsidR="00000000" w:rsidRPr="00000000">
        <w:rPr>
          <w:rtl w:val="0"/>
        </w:rPr>
        <w:t xml:space="preserve">　　　　　　　　　　　　emishia施設主任　森谷</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t xml:space="preserve">　　　　　　　　　すてっぷあっぷ</w:t>
      </w: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電話</w:t>
      </w:r>
      <w:r w:rsidDel="00000000" w:rsidR="00000000" w:rsidRPr="00000000">
        <w:rPr>
          <w:rtl w:val="0"/>
        </w:rPr>
        <w:t xml:space="preserve">090（6687）4367</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　　　　　　　　　　　　　emishia電話090（6685）4367</w:t>
      </w:r>
    </w:p>
    <w:p w:rsidR="00000000" w:rsidDel="00000000" w:rsidP="00000000" w:rsidRDefault="00000000" w:rsidRPr="00000000" w14:paraId="0000003E">
      <w:pPr>
        <w:ind w:left="680" w:firstLine="227.00000000000003"/>
        <w:rPr/>
      </w:pPr>
      <w:r w:rsidDel="00000000" w:rsidR="00000000" w:rsidRPr="00000000">
        <w:rPr>
          <w:rtl w:val="0"/>
        </w:rPr>
        <w:t xml:space="preserve">相談窓口担当者は、公平に相談者だけなく行為者についてもプライバシーを守り対応する。電話、メール、チャットでも相談を受け付ける。</w:t>
      </w:r>
    </w:p>
    <w:p w:rsidR="00000000" w:rsidDel="00000000" w:rsidP="00000000" w:rsidRDefault="00000000" w:rsidRPr="00000000" w14:paraId="0000003F">
      <w:pPr>
        <w:ind w:left="680" w:hanging="680"/>
        <w:rPr/>
      </w:pPr>
      <w:r w:rsidDel="00000000" w:rsidR="00000000" w:rsidRPr="00000000">
        <w:rPr>
          <w:rtl w:val="0"/>
        </w:rPr>
        <w:t xml:space="preserve">（２）労働者は、利用者・家族からハラスメントを受けた場合、相談窓口担当者に報告・相談する。相談窓口担当者と上司は、必要な対応を行う。</w:t>
      </w:r>
    </w:p>
    <w:p w:rsidR="00000000" w:rsidDel="00000000" w:rsidP="00000000" w:rsidRDefault="00000000" w:rsidRPr="00000000" w14:paraId="00000040">
      <w:pPr>
        <w:ind w:left="680" w:hanging="680"/>
        <w:rPr/>
      </w:pPr>
      <w:r w:rsidDel="00000000" w:rsidR="00000000" w:rsidRPr="00000000">
        <w:rPr>
          <w:rtl w:val="0"/>
        </w:rPr>
        <w:t xml:space="preserve">（３）相談窓口担当者と上司は、被害者への配慮のための取組（メンタルヘルス不調への相談対応、行為者に対して1人で対応させない等）を行う。</w:t>
      </w:r>
    </w:p>
    <w:p w:rsidR="00000000" w:rsidDel="00000000" w:rsidP="00000000" w:rsidRDefault="00000000" w:rsidRPr="00000000" w14:paraId="00000041">
      <w:pPr>
        <w:ind w:left="680" w:hanging="680"/>
        <w:rPr/>
      </w:pPr>
      <w:r w:rsidDel="00000000" w:rsidR="00000000" w:rsidRPr="00000000">
        <w:rPr>
          <w:rtl w:val="0"/>
        </w:rPr>
        <w:t xml:space="preserve">（４）相談窓口担当者と上司は、相談や報告のあった事例について問題点を整理し、被害防止のため、マニュアル作成や研修実施、状況に応じた取組を行う。</w:t>
      </w:r>
    </w:p>
    <w:p w:rsidR="00000000" w:rsidDel="00000000" w:rsidP="00000000" w:rsidRDefault="00000000" w:rsidRPr="00000000" w14:paraId="00000042">
      <w:pPr>
        <w:rPr>
          <w:rFonts w:ascii="MS Mincho" w:cs="MS Mincho" w:eastAsia="MS Mincho" w:hAnsi="MS Mincho"/>
        </w:rPr>
      </w:pPr>
      <w:r w:rsidDel="00000000" w:rsidR="00000000" w:rsidRPr="00000000">
        <w:rPr>
          <w:rtl w:val="0"/>
        </w:rPr>
      </w:r>
    </w:p>
    <w:p w:rsidR="00000000" w:rsidDel="00000000" w:rsidP="00000000" w:rsidRDefault="00000000" w:rsidRPr="00000000" w14:paraId="00000043">
      <w:pPr>
        <w:rPr>
          <w:rFonts w:ascii="MS Gothic" w:cs="MS Gothic" w:eastAsia="MS Gothic" w:hAnsi="MS Gothic"/>
        </w:rPr>
      </w:pPr>
      <w:r w:rsidDel="00000000" w:rsidR="00000000" w:rsidRPr="00000000">
        <w:rPr>
          <w:rFonts w:ascii="MS Gothic" w:cs="MS Gothic" w:eastAsia="MS Gothic" w:hAnsi="MS Gothic"/>
          <w:rtl w:val="0"/>
        </w:rPr>
        <w:t xml:space="preserve">４　利用者等に対する当該指針の閲覧</w:t>
      </w:r>
    </w:p>
    <w:p w:rsidR="00000000" w:rsidDel="00000000" w:rsidP="00000000" w:rsidRDefault="00000000" w:rsidRPr="00000000" w14:paraId="00000044">
      <w:pPr>
        <w:rPr/>
      </w:pPr>
      <w:r w:rsidDel="00000000" w:rsidR="00000000" w:rsidRPr="00000000">
        <w:rPr>
          <w:rtl w:val="0"/>
        </w:rPr>
        <w:t xml:space="preserve">　本指針は利用者・家族や関係機関が閲覧できるよう掲示する。</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rFonts w:ascii="MS Gothic" w:cs="MS Gothic" w:eastAsia="MS Gothic" w:hAnsi="MS Gothic"/>
        </w:rPr>
      </w:pPr>
      <w:r w:rsidDel="00000000" w:rsidR="00000000" w:rsidRPr="00000000">
        <w:rPr>
          <w:rFonts w:ascii="MS Gothic" w:cs="MS Gothic" w:eastAsia="MS Gothic" w:hAnsi="MS Gothic"/>
          <w:rtl w:val="0"/>
        </w:rPr>
        <w:t xml:space="preserve">５　その他ハラスメント防止のために必要な事項</w:t>
      </w:r>
    </w:p>
    <w:p w:rsidR="00000000" w:rsidDel="00000000" w:rsidP="00000000" w:rsidRDefault="00000000" w:rsidRPr="00000000" w14:paraId="00000047">
      <w:pPr>
        <w:rPr/>
      </w:pPr>
      <w:r w:rsidDel="00000000" w:rsidR="00000000" w:rsidRPr="00000000">
        <w:rPr>
          <w:rtl w:val="0"/>
        </w:rPr>
        <w:t xml:space="preserve">　当事業所のハラスメント防止マニュアルについては、「介護現場におけるハラスメント対策マニュアル」「（管理職・職員向け）研修のための手引き」に基づいて対応する。</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附則</w:t>
      </w:r>
    </w:p>
    <w:p w:rsidR="00000000" w:rsidDel="00000000" w:rsidP="00000000" w:rsidRDefault="00000000" w:rsidRPr="00000000" w14:paraId="0000004A">
      <w:pPr>
        <w:rPr/>
      </w:pPr>
      <w:r w:rsidDel="00000000" w:rsidR="00000000" w:rsidRPr="00000000">
        <w:rPr>
          <w:rtl w:val="0"/>
        </w:rPr>
        <w:t xml:space="preserve">本指針は、令和5年9月11日より施行する。</w:t>
      </w:r>
    </w:p>
    <w:sectPr>
      <w:footerReference r:id="rId7" w:type="default"/>
      <w:pgSz w:h="16838" w:w="11906" w:orient="portrait"/>
      <w:pgMar w:bottom="1418" w:top="1418" w:left="1418" w:right="1418"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Gothic"/>
  <w:font w:name="MS Mincho"/>
  <w:font w:name="游明朝"/>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88" w:hanging="360"/>
      </w:pPr>
      <w:rPr/>
    </w:lvl>
    <w:lvl w:ilvl="1">
      <w:start w:val="1"/>
      <w:numFmt w:val="decimal"/>
      <w:lvlText w:val="(%2)"/>
      <w:lvlJc w:val="left"/>
      <w:pPr>
        <w:ind w:left="1068" w:hanging="420"/>
      </w:pPr>
      <w:rPr/>
    </w:lvl>
    <w:lvl w:ilvl="2">
      <w:start w:val="1"/>
      <w:numFmt w:val="decimal"/>
      <w:lvlText w:val="%3"/>
      <w:lvlJc w:val="left"/>
      <w:pPr>
        <w:ind w:left="1488" w:hanging="420"/>
      </w:pPr>
      <w:rPr/>
    </w:lvl>
    <w:lvl w:ilvl="3">
      <w:start w:val="1"/>
      <w:numFmt w:val="decimal"/>
      <w:lvlText w:val="%4."/>
      <w:lvlJc w:val="left"/>
      <w:pPr>
        <w:ind w:left="1908" w:hanging="420"/>
      </w:pPr>
      <w:rPr/>
    </w:lvl>
    <w:lvl w:ilvl="4">
      <w:start w:val="1"/>
      <w:numFmt w:val="decimal"/>
      <w:lvlText w:val="(%5)"/>
      <w:lvlJc w:val="left"/>
      <w:pPr>
        <w:ind w:left="2328" w:hanging="420"/>
      </w:pPr>
      <w:rPr/>
    </w:lvl>
    <w:lvl w:ilvl="5">
      <w:start w:val="1"/>
      <w:numFmt w:val="decimal"/>
      <w:lvlText w:val="%6"/>
      <w:lvlJc w:val="left"/>
      <w:pPr>
        <w:ind w:left="2748" w:hanging="420"/>
      </w:pPr>
      <w:rPr/>
    </w:lvl>
    <w:lvl w:ilvl="6">
      <w:start w:val="1"/>
      <w:numFmt w:val="decimal"/>
      <w:lvlText w:val="%7."/>
      <w:lvlJc w:val="left"/>
      <w:pPr>
        <w:ind w:left="3168" w:hanging="420"/>
      </w:pPr>
      <w:rPr/>
    </w:lvl>
    <w:lvl w:ilvl="7">
      <w:start w:val="1"/>
      <w:numFmt w:val="decimal"/>
      <w:lvlText w:val="(%8)"/>
      <w:lvlJc w:val="left"/>
      <w:pPr>
        <w:ind w:left="3588" w:hanging="420"/>
      </w:pPr>
      <w:rPr/>
    </w:lvl>
    <w:lvl w:ilvl="8">
      <w:start w:val="1"/>
      <w:numFmt w:val="decimal"/>
      <w:lvlText w:val="%9"/>
      <w:lvlJc w:val="left"/>
      <w:pPr>
        <w:ind w:left="4008" w:hanging="420"/>
      </w:pPr>
      <w:rPr/>
    </w:lvl>
  </w:abstractNum>
  <w:abstractNum w:abstractNumId="2">
    <w:lvl w:ilvl="0">
      <w:start w:val="1"/>
      <w:numFmt w:val="decimal"/>
      <w:lvlText w:val="%1"/>
      <w:lvlJc w:val="left"/>
      <w:pPr>
        <w:ind w:left="587" w:hanging="360"/>
      </w:pPr>
      <w:rPr/>
    </w:lvl>
    <w:lvl w:ilvl="1">
      <w:start w:val="1"/>
      <w:numFmt w:val="decimal"/>
      <w:lvlText w:val="(%2)"/>
      <w:lvlJc w:val="left"/>
      <w:pPr>
        <w:ind w:left="1067" w:hanging="420"/>
      </w:pPr>
      <w:rPr/>
    </w:lvl>
    <w:lvl w:ilvl="2">
      <w:start w:val="1"/>
      <w:numFmt w:val="decimal"/>
      <w:lvlText w:val="%3"/>
      <w:lvlJc w:val="left"/>
      <w:pPr>
        <w:ind w:left="1487" w:hanging="420"/>
      </w:pPr>
      <w:rPr/>
    </w:lvl>
    <w:lvl w:ilvl="3">
      <w:start w:val="1"/>
      <w:numFmt w:val="decimal"/>
      <w:lvlText w:val="%4."/>
      <w:lvlJc w:val="left"/>
      <w:pPr>
        <w:ind w:left="1907" w:hanging="420"/>
      </w:pPr>
      <w:rPr/>
    </w:lvl>
    <w:lvl w:ilvl="4">
      <w:start w:val="1"/>
      <w:numFmt w:val="decimal"/>
      <w:lvlText w:val="(%5)"/>
      <w:lvlJc w:val="left"/>
      <w:pPr>
        <w:ind w:left="2327" w:hanging="420"/>
      </w:pPr>
      <w:rPr/>
    </w:lvl>
    <w:lvl w:ilvl="5">
      <w:start w:val="1"/>
      <w:numFmt w:val="decimal"/>
      <w:lvlText w:val="%6"/>
      <w:lvlJc w:val="left"/>
      <w:pPr>
        <w:ind w:left="2747" w:hanging="420"/>
      </w:pPr>
      <w:rPr/>
    </w:lvl>
    <w:lvl w:ilvl="6">
      <w:start w:val="1"/>
      <w:numFmt w:val="decimal"/>
      <w:lvlText w:val="%7."/>
      <w:lvlJc w:val="left"/>
      <w:pPr>
        <w:ind w:left="3167" w:hanging="420"/>
      </w:pPr>
      <w:rPr/>
    </w:lvl>
    <w:lvl w:ilvl="7">
      <w:start w:val="1"/>
      <w:numFmt w:val="decimal"/>
      <w:lvlText w:val="(%8)"/>
      <w:lvlJc w:val="left"/>
      <w:pPr>
        <w:ind w:left="3587" w:hanging="420"/>
      </w:pPr>
      <w:rPr/>
    </w:lvl>
    <w:lvl w:ilvl="8">
      <w:start w:val="1"/>
      <w:numFmt w:val="decimal"/>
      <w:lvlText w:val="%9"/>
      <w:lvlJc w:val="left"/>
      <w:pPr>
        <w:ind w:left="4007" w:hanging="420"/>
      </w:pPr>
      <w:rPr/>
    </w:lvl>
  </w:abstractNum>
  <w:abstractNum w:abstractNumId="3">
    <w:lvl w:ilvl="0">
      <w:start w:val="1"/>
      <w:numFmt w:val="decimal"/>
      <w:lvlText w:val="%1"/>
      <w:lvlJc w:val="left"/>
      <w:pPr>
        <w:ind w:left="588" w:hanging="360"/>
      </w:pPr>
      <w:rPr/>
    </w:lvl>
    <w:lvl w:ilvl="1">
      <w:start w:val="1"/>
      <w:numFmt w:val="decimal"/>
      <w:lvlText w:val="(%2)"/>
      <w:lvlJc w:val="left"/>
      <w:pPr>
        <w:ind w:left="1068" w:hanging="420"/>
      </w:pPr>
      <w:rPr/>
    </w:lvl>
    <w:lvl w:ilvl="2">
      <w:start w:val="1"/>
      <w:numFmt w:val="decimal"/>
      <w:lvlText w:val="%3"/>
      <w:lvlJc w:val="left"/>
      <w:pPr>
        <w:ind w:left="1488" w:hanging="420"/>
      </w:pPr>
      <w:rPr/>
    </w:lvl>
    <w:lvl w:ilvl="3">
      <w:start w:val="1"/>
      <w:numFmt w:val="decimal"/>
      <w:lvlText w:val="%4."/>
      <w:lvlJc w:val="left"/>
      <w:pPr>
        <w:ind w:left="1908" w:hanging="420"/>
      </w:pPr>
      <w:rPr/>
    </w:lvl>
    <w:lvl w:ilvl="4">
      <w:start w:val="1"/>
      <w:numFmt w:val="decimal"/>
      <w:lvlText w:val="(%5)"/>
      <w:lvlJc w:val="left"/>
      <w:pPr>
        <w:ind w:left="2328" w:hanging="420"/>
      </w:pPr>
      <w:rPr/>
    </w:lvl>
    <w:lvl w:ilvl="5">
      <w:start w:val="1"/>
      <w:numFmt w:val="decimal"/>
      <w:lvlText w:val="%6"/>
      <w:lvlJc w:val="left"/>
      <w:pPr>
        <w:ind w:left="2748" w:hanging="420"/>
      </w:pPr>
      <w:rPr/>
    </w:lvl>
    <w:lvl w:ilvl="6">
      <w:start w:val="1"/>
      <w:numFmt w:val="decimal"/>
      <w:lvlText w:val="%7."/>
      <w:lvlJc w:val="left"/>
      <w:pPr>
        <w:ind w:left="3168" w:hanging="420"/>
      </w:pPr>
      <w:rPr/>
    </w:lvl>
    <w:lvl w:ilvl="7">
      <w:start w:val="1"/>
      <w:numFmt w:val="decimal"/>
      <w:lvlText w:val="(%8)"/>
      <w:lvlJc w:val="left"/>
      <w:pPr>
        <w:ind w:left="3588" w:hanging="420"/>
      </w:pPr>
      <w:rPr/>
    </w:lvl>
    <w:lvl w:ilvl="8">
      <w:start w:val="1"/>
      <w:numFmt w:val="decimal"/>
      <w:lvlText w:val="%9"/>
      <w:lvlJc w:val="left"/>
      <w:pPr>
        <w:ind w:left="4008" w:hanging="420"/>
      </w:pPr>
      <w:rPr/>
    </w:lvl>
  </w:abstractNum>
  <w:abstractNum w:abstractNumId="4">
    <w:lvl w:ilvl="0">
      <w:start w:val="1"/>
      <w:numFmt w:val="decimal"/>
      <w:lvlText w:val="%1"/>
      <w:lvlJc w:val="left"/>
      <w:pPr>
        <w:ind w:left="588" w:hanging="360"/>
      </w:pPr>
      <w:rPr/>
    </w:lvl>
    <w:lvl w:ilvl="1">
      <w:start w:val="1"/>
      <w:numFmt w:val="decimal"/>
      <w:lvlText w:val="(%2)"/>
      <w:lvlJc w:val="left"/>
      <w:pPr>
        <w:ind w:left="1068" w:hanging="420"/>
      </w:pPr>
      <w:rPr/>
    </w:lvl>
    <w:lvl w:ilvl="2">
      <w:start w:val="1"/>
      <w:numFmt w:val="decimal"/>
      <w:lvlText w:val="%3"/>
      <w:lvlJc w:val="left"/>
      <w:pPr>
        <w:ind w:left="1488" w:hanging="420"/>
      </w:pPr>
      <w:rPr/>
    </w:lvl>
    <w:lvl w:ilvl="3">
      <w:start w:val="1"/>
      <w:numFmt w:val="decimal"/>
      <w:lvlText w:val="%4."/>
      <w:lvlJc w:val="left"/>
      <w:pPr>
        <w:ind w:left="1908" w:hanging="420"/>
      </w:pPr>
      <w:rPr/>
    </w:lvl>
    <w:lvl w:ilvl="4">
      <w:start w:val="1"/>
      <w:numFmt w:val="decimal"/>
      <w:lvlText w:val="(%5)"/>
      <w:lvlJc w:val="left"/>
      <w:pPr>
        <w:ind w:left="2328" w:hanging="420"/>
      </w:pPr>
      <w:rPr/>
    </w:lvl>
    <w:lvl w:ilvl="5">
      <w:start w:val="1"/>
      <w:numFmt w:val="decimal"/>
      <w:lvlText w:val="%6"/>
      <w:lvlJc w:val="left"/>
      <w:pPr>
        <w:ind w:left="2748" w:hanging="420"/>
      </w:pPr>
      <w:rPr/>
    </w:lvl>
    <w:lvl w:ilvl="6">
      <w:start w:val="1"/>
      <w:numFmt w:val="decimal"/>
      <w:lvlText w:val="%7."/>
      <w:lvlJc w:val="left"/>
      <w:pPr>
        <w:ind w:left="3168" w:hanging="420"/>
      </w:pPr>
      <w:rPr/>
    </w:lvl>
    <w:lvl w:ilvl="7">
      <w:start w:val="1"/>
      <w:numFmt w:val="decimal"/>
      <w:lvlText w:val="(%8)"/>
      <w:lvlJc w:val="left"/>
      <w:pPr>
        <w:ind w:left="3588" w:hanging="420"/>
      </w:pPr>
      <w:rPr/>
    </w:lvl>
    <w:lvl w:ilvl="8">
      <w:start w:val="1"/>
      <w:numFmt w:val="decimal"/>
      <w:lvlText w:val="%9"/>
      <w:lvlJc w:val="left"/>
      <w:pPr>
        <w:ind w:left="4008" w:hanging="420"/>
      </w:pPr>
      <w:rPr/>
    </w:lvl>
  </w:abstractNum>
  <w:abstractNum w:abstractNumId="5">
    <w:lvl w:ilvl="0">
      <w:start w:val="1"/>
      <w:numFmt w:val="decimal"/>
      <w:lvlText w:val="（%1）"/>
      <w:lvlJc w:val="left"/>
      <w:pPr>
        <w:ind w:left="648" w:hanging="648"/>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19378B"/>
    <w:pPr>
      <w:ind w:left="840" w:leftChars="400"/>
    </w:pPr>
  </w:style>
  <w:style w:type="table" w:styleId="a4">
    <w:name w:val="Table Grid"/>
    <w:basedOn w:val="a1"/>
    <w:uiPriority w:val="39"/>
    <w:rsid w:val="0055334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5">
    <w:name w:val="header"/>
    <w:basedOn w:val="a"/>
    <w:link w:val="a6"/>
    <w:uiPriority w:val="99"/>
    <w:unhideWhenUsed w:val="1"/>
    <w:rsid w:val="00765268"/>
    <w:pPr>
      <w:tabs>
        <w:tab w:val="center" w:pos="4252"/>
        <w:tab w:val="right" w:pos="8504"/>
      </w:tabs>
      <w:snapToGrid w:val="0"/>
    </w:pPr>
  </w:style>
  <w:style w:type="character" w:styleId="a6" w:customStyle="1">
    <w:name w:val="ヘッダー (文字)"/>
    <w:basedOn w:val="a0"/>
    <w:link w:val="a5"/>
    <w:uiPriority w:val="99"/>
    <w:rsid w:val="00765268"/>
  </w:style>
  <w:style w:type="paragraph" w:styleId="a7">
    <w:name w:val="footer"/>
    <w:basedOn w:val="a"/>
    <w:link w:val="a8"/>
    <w:uiPriority w:val="99"/>
    <w:unhideWhenUsed w:val="1"/>
    <w:rsid w:val="00765268"/>
    <w:pPr>
      <w:tabs>
        <w:tab w:val="center" w:pos="4252"/>
        <w:tab w:val="right" w:pos="8504"/>
      </w:tabs>
      <w:snapToGrid w:val="0"/>
    </w:pPr>
  </w:style>
  <w:style w:type="character" w:styleId="a8" w:customStyle="1">
    <w:name w:val="フッター (文字)"/>
    <w:basedOn w:val="a0"/>
    <w:link w:val="a7"/>
    <w:uiPriority w:val="99"/>
    <w:rsid w:val="0076526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samGSGNMTrpeTrCg0Tz7/rK3ug==">CgMxLjA4AHIhMU9jZWN5RmF4dnFEamFUZkRXU2RvalhOQVkzS2FiZ0Zt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2021-05-05T07:39:00Z</dcterms:created>
  <dc:creator>山田 準一</dc:creator>
</cp:coreProperties>
</file>